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WILLIAM ASTLEY</w:t>
      </w:r>
    </w:p>
    <w:p w:rsidR="00000000" w:rsidDel="00000000" w:rsidP="00000000" w:rsidRDefault="00000000" w:rsidRPr="00000000" w14:paraId="00000002">
      <w:pPr>
        <w:widowControl w:val="0"/>
        <w:spacing w:before="114.857177734375" w:line="240" w:lineRule="auto"/>
        <w:jc w:val="center"/>
        <w:rPr>
          <w:b w:val="1"/>
          <w:bCs w:val="1"/>
          <w:sz w:val="21.818199157714844"/>
          <w:szCs w:val="21.818199157714844"/>
        </w:rPr>
      </w:pPr>
      <w:r w:rsidDel="00000000" w:rsidR="00000000" w:rsidRPr="00000000">
        <w:rPr>
          <w:sz w:val="21.818199157714844"/>
          <w:szCs w:val="21.818199157714844"/>
          <w:rtl w:val="0"/>
        </w:rPr>
        <w:t xml:space="preserve">518-902-5805 </w:t>
      </w:r>
      <w:r w:rsidDel="00000000" w:rsidR="00000000" w:rsidRPr="00000000">
        <w:rPr>
          <w:i w:val="1"/>
          <w:iCs w:val="1"/>
          <w:sz w:val="21.818199157714844"/>
          <w:szCs w:val="21.818199157714844"/>
          <w:rtl w:val="0"/>
        </w:rPr>
        <w:t xml:space="preserve">| </w:t>
      </w:r>
      <w:r w:rsidDel="00000000" w:rsidR="00000000" w:rsidRPr="00000000">
        <w:rPr>
          <w:sz w:val="21.818199157714844"/>
          <w:szCs w:val="21.818199157714844"/>
          <w:rtl w:val="0"/>
        </w:rPr>
        <w:t xml:space="preserve">Toronto, ON, Canada (US &amp; Canadian Citizen)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76.141357421875" w:line="240" w:lineRule="auto"/>
        <w:jc w:val="center"/>
        <w:rPr>
          <w:color w:val="0000ff"/>
          <w:sz w:val="21.818199157714844"/>
          <w:szCs w:val="21.818199157714844"/>
        </w:rPr>
      </w:pPr>
      <w:hyperlink r:id="rId6">
        <w:r w:rsidDel="00000000" w:rsidR="00000000" w:rsidRPr="00000000">
          <w:rPr>
            <w:color w:val="1155cc"/>
            <w:sz w:val="21.818199157714844"/>
            <w:szCs w:val="21.818199157714844"/>
            <w:u w:val="single"/>
            <w:rtl w:val="0"/>
          </w:rPr>
          <w:t xml:space="preserve">wrastley@gmail.com</w:t>
        </w:r>
      </w:hyperlink>
      <w:r w:rsidDel="00000000" w:rsidR="00000000" w:rsidRPr="00000000">
        <w:rPr>
          <w:color w:val="0000ff"/>
          <w:sz w:val="21.818199157714844"/>
          <w:szCs w:val="21.818199157714844"/>
          <w:rtl w:val="0"/>
        </w:rPr>
        <w:t xml:space="preserve"> </w:t>
      </w:r>
      <w:r w:rsidDel="00000000" w:rsidR="00000000" w:rsidRPr="00000000">
        <w:rPr>
          <w:sz w:val="21.818199157714844"/>
          <w:szCs w:val="21.818199157714844"/>
          <w:rtl w:val="0"/>
        </w:rPr>
        <w:t xml:space="preserve">| </w:t>
      </w:r>
      <w:hyperlink r:id="rId7">
        <w:r w:rsidDel="00000000" w:rsidR="00000000" w:rsidRPr="00000000">
          <w:rPr>
            <w:color w:val="1155cc"/>
            <w:sz w:val="21.818199157714844"/>
            <w:szCs w:val="21.818199157714844"/>
            <w:u w:val="single"/>
            <w:rtl w:val="0"/>
          </w:rPr>
          <w:t xml:space="preserve">Website</w:t>
        </w:r>
      </w:hyperlink>
      <w:r w:rsidDel="00000000" w:rsidR="00000000" w:rsidRPr="00000000">
        <w:rPr>
          <w:i w:val="1"/>
          <w:iCs w:val="1"/>
          <w:sz w:val="21.818199157714844"/>
          <w:szCs w:val="21.818199157714844"/>
          <w:rtl w:val="0"/>
        </w:rPr>
        <w:t xml:space="preserve"> </w:t>
      </w:r>
      <w:r w:rsidDel="00000000" w:rsidR="00000000" w:rsidRPr="00000000">
        <w:rPr>
          <w:i w:val="1"/>
          <w:iCs w:val="1"/>
          <w:sz w:val="21.818199157714844"/>
          <w:szCs w:val="21.818199157714844"/>
          <w:rtl w:val="0"/>
        </w:rPr>
        <w:t xml:space="preserve">|</w:t>
      </w:r>
      <w:r w:rsidDel="00000000" w:rsidR="00000000" w:rsidRPr="00000000">
        <w:rPr>
          <w:sz w:val="21.818199157714844"/>
          <w:szCs w:val="21.818199157714844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21.818199157714844"/>
            <w:szCs w:val="21.818199157714844"/>
            <w:u w:val="single"/>
            <w:rtl w:val="0"/>
          </w:rPr>
          <w:t xml:space="preserve">GitHub</w:t>
        </w:r>
      </w:hyperlink>
      <w:r w:rsidDel="00000000" w:rsidR="00000000" w:rsidRPr="00000000">
        <w:rPr>
          <w:i w:val="1"/>
          <w:iCs w:val="1"/>
          <w:sz w:val="21.818199157714844"/>
          <w:szCs w:val="21.818199157714844"/>
          <w:rtl w:val="0"/>
        </w:rPr>
        <w:t xml:space="preserve"> </w:t>
      </w:r>
      <w:r w:rsidDel="00000000" w:rsidR="00000000" w:rsidRPr="00000000">
        <w:rPr>
          <w:sz w:val="21.818199157714844"/>
          <w:szCs w:val="21.818199157714844"/>
          <w:rtl w:val="0"/>
        </w:rPr>
        <w:t xml:space="preserve">| </w:t>
      </w:r>
      <w:hyperlink r:id="rId9">
        <w:r w:rsidDel="00000000" w:rsidR="00000000" w:rsidRPr="00000000">
          <w:rPr>
            <w:color w:val="1155cc"/>
            <w:sz w:val="21.818199157714844"/>
            <w:szCs w:val="21.818199157714844"/>
            <w:u w:val="single"/>
            <w:rtl w:val="0"/>
          </w:rPr>
          <w:t xml:space="preserve">LinkedIn</w:t>
        </w:r>
      </w:hyperlink>
      <w:r w:rsidDel="00000000" w:rsidR="00000000" w:rsidRPr="00000000">
        <w:rPr>
          <w:color w:val="0000ff"/>
          <w:sz w:val="21.818199157714844"/>
          <w:szCs w:val="21.818199157714844"/>
          <w:rtl w:val="0"/>
        </w:rPr>
        <w:t xml:space="preserve"> </w:t>
      </w:r>
      <w:r w:rsidDel="00000000" w:rsidR="00000000" w:rsidRPr="00000000">
        <w:rPr>
          <w:sz w:val="21.818199157714844"/>
          <w:szCs w:val="21.818199157714844"/>
          <w:rtl w:val="0"/>
        </w:rPr>
        <w:t xml:space="preserve">|</w:t>
      </w:r>
      <w:r w:rsidDel="00000000" w:rsidR="00000000" w:rsidRPr="00000000">
        <w:rPr>
          <w:i w:val="1"/>
          <w:iCs w:val="1"/>
          <w:sz w:val="21.818199157714844"/>
          <w:szCs w:val="21.818199157714844"/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sz w:val="21.818199157714844"/>
            <w:szCs w:val="21.818199157714844"/>
            <w:u w:val="single"/>
            <w:rtl w:val="0"/>
          </w:rPr>
          <w:t xml:space="preserve">PyPI</w:t>
        </w:r>
      </w:hyperlink>
      <w:r w:rsidDel="00000000" w:rsidR="00000000" w:rsidRPr="00000000">
        <w:rPr>
          <w:color w:val="0000ff"/>
          <w:sz w:val="21.818199157714844"/>
          <w:szCs w:val="21.81819915771484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159.920654296875" w:line="248.29854011535645" w:lineRule="auto"/>
        <w:ind w:left="2.1817398071289062" w:right="12.508544921875" w:firstLine="0.8727264404296875"/>
        <w:jc w:val="both"/>
        <w:rPr>
          <w:b w:val="1"/>
          <w:bCs w:val="1"/>
          <w:sz w:val="21.818199157714844"/>
          <w:szCs w:val="21.81819915771484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159.920654296875" w:line="248.29854011535645" w:lineRule="auto"/>
        <w:ind w:left="0" w:right="12.50854492187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before="159.920654296875" w:line="248.29854011535645" w:lineRule="auto"/>
        <w:ind w:left="720" w:right="12.508544921875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Agent systems engineer specializing in LLM runtimes, multi-agent orchestration, and production AI infrastructure. Creator of Haive, an open-source framework for adaptive multi-agent systems that move beyond fixed workflows by enabling agents to discover capabilities, compose tools, spawn sub-agents, and coordinate through stateful serializable graphs. Built 100+ agent implementations and 30+ open-source frameworks spanning agentic AI, quantitative systems, and developer tooling.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159.920654296875" w:lineRule="auto"/>
        <w:ind w:right="12.508544921875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Professional Experience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before="100" w:line="248.29876899719238" w:lineRule="auto"/>
        <w:ind w:right="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Creator, Haive Framework (2024-Present)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spacing w:after="0" w:afterAutospacing="0" w:before="100" w:line="248.29876899719238" w:lineRule="auto"/>
        <w:ind w:left="720" w:right="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Architected Haive’s runtime and standardized ACP-style deployment services for dynamic multi-agent systems, with stateful serializable graphs, persistent memory, runtime reconfiguration, capability discovery, and MCP integrations.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spacing w:after="0" w:afterAutospacing="0" w:before="0" w:beforeAutospacing="0" w:line="248.29876899719238" w:lineRule="auto"/>
        <w:ind w:left="720" w:right="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Built composable agent-team orchestration with planners, reasoners, memory, dynamic supervision, parallel execution, and validation/repair loops for adaptive workflows.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spacing w:after="0" w:afterAutospacing="0" w:before="0" w:beforeAutospacing="0" w:line="248.29876899719238" w:lineRule="auto"/>
        <w:ind w:left="720" w:right="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Developed configurable RAG/context pipelines across 200+ sources, spanning custom ingestion, document processing, embedding, indexing/storage, retrieval orchestration, and 20+ RAG patterns.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spacing w:before="0" w:beforeAutospacing="0" w:line="248.29876899719238" w:lineRule="auto"/>
        <w:ind w:left="720" w:right="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evaluation and benchmarking systems across 22 game and application environments, using fixed-config ablations to compare tools, prompts, models, and agent architectures.</w:t>
      </w:r>
    </w:p>
    <w:p w:rsidR="00000000" w:rsidDel="00000000" w:rsidP="00000000" w:rsidRDefault="00000000" w:rsidRPr="00000000" w14:paraId="0000000D">
      <w:pPr>
        <w:widowControl w:val="0"/>
        <w:spacing w:before="100" w:line="248.29876899719238" w:lineRule="auto"/>
        <w:ind w:right="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Senior Quantitative Risk Developer, Corpay, Toronto (2022-Present)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5"/>
        </w:numPr>
        <w:spacing w:after="0" w:afterAutospacing="0" w:before="100" w:line="248.29876899719238" w:lineRule="auto"/>
        <w:ind w:left="720" w:right="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Led Corpay’s agentic AI initiative by building multi-agent systems on Haive, including a KYC/AML watchlist assistant that achieved 96% detection accuracy, 5× faster throughput, and full coverage over sampling.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5"/>
        </w:numPr>
        <w:spacing w:after="0" w:afterAutospacing="0" w:before="0" w:beforeAutospacing="0" w:line="248.29876899719238" w:lineRule="auto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Built a database intelligence agent and credit underwriting assistant for internal teams, improving data access and enabling faster, more consistent credit reviews.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5"/>
        </w:numPr>
        <w:spacing w:after="0" w:afterAutospacing="0" w:before="0" w:beforeAutospacing="0" w:line="248.29876899719238" w:lineRule="auto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Engineered an automated forecasting and stress-testing platform using GARCH-based models for VaR, volatility, and scenario analysis, improving accuracy by 35% and reducing runtime by 75% across $500M.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Built and maintained a centralized multi-repo platform, unifying CI/CD across credit, treasury, and trading.</w:t>
      </w:r>
    </w:p>
    <w:p w:rsidR="00000000" w:rsidDel="00000000" w:rsidP="00000000" w:rsidRDefault="00000000" w:rsidRPr="00000000" w14:paraId="00000012">
      <w:pPr>
        <w:widowControl w:val="0"/>
        <w:spacing w:after="0" w:before="100" w:line="247.2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Senior Quantitative Risk Developer, Corpay, Toronto (2022-Present)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5"/>
        </w:numPr>
        <w:spacing w:after="0" w:before="100" w:line="247.2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Built and led a 10-person team developing EquityExpert, an early multi-agent platform for automated sell-side equity research with live, data-driven reports spanning fundamental, technical, macro, and quantitative analysis.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5"/>
        </w:numPr>
        <w:spacing w:after="0" w:before="0" w:line="247.2" w:lineRule="auto"/>
        <w:ind w:left="720" w:right="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Advance</w:t>
      </w:r>
      <w:r w:rsidDel="00000000" w:rsidR="00000000" w:rsidRPr="00000000">
        <w:rPr>
          <w:sz w:val="20"/>
          <w:szCs w:val="20"/>
          <w:rtl w:val="0"/>
        </w:rPr>
        <w:t xml:space="preserve">d to the Y Combinator interview stage for AI-driven analytics and document-ingestion systems. </w:t>
      </w:r>
    </w:p>
    <w:p w:rsidR="00000000" w:rsidDel="00000000" w:rsidP="00000000" w:rsidRDefault="00000000" w:rsidRPr="00000000" w14:paraId="00000015">
      <w:pPr>
        <w:widowControl w:val="0"/>
        <w:spacing w:before="100" w:line="248.29876899719238" w:lineRule="auto"/>
        <w:ind w:left="0" w:right="20" w:firstLine="0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100" w:line="248.29876899719238" w:lineRule="auto"/>
        <w:ind w:right="2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spacing w:after="0" w:afterAutospacing="0" w:before="100" w:line="248.29876899719238" w:lineRule="auto"/>
        <w:ind w:left="720" w:right="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Agentic Systems &amp; Evaluation:</w:t>
      </w:r>
      <w:r w:rsidDel="00000000" w:rsidR="00000000" w:rsidRPr="00000000">
        <w:rPr>
          <w:sz w:val="20"/>
          <w:szCs w:val="20"/>
          <w:rtl w:val="0"/>
        </w:rPr>
        <w:t xml:space="preserve"> Expert in LangChain and LangGraph; LangGraph SDK, LangSmith, Deep Agents, MCP; agent/runtime design, graph composition, multi-agent orchestration, A2A protocols, persistent memory, RAG, knowledge graphs, prompt design, validation, HITL, benchmarking, agent observability, and deployment.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Languages &amp; Backend:</w:t>
      </w:r>
      <w:r w:rsidDel="00000000" w:rsidR="00000000" w:rsidRPr="00000000">
        <w:rPr>
          <w:sz w:val="20"/>
          <w:szCs w:val="20"/>
          <w:rtl w:val="0"/>
        </w:rPr>
        <w:t xml:space="preserve"> Expert in Python; SQL, TypeScript; FastAPI, Pydantic, SQLAlchemy; Pandas/NumPy.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AI/ML &amp; Quantitative Methods:</w:t>
      </w:r>
      <w:r w:rsidDel="00000000" w:rsidR="00000000" w:rsidRPr="00000000">
        <w:rPr>
          <w:sz w:val="20"/>
          <w:szCs w:val="20"/>
          <w:rtl w:val="0"/>
        </w:rPr>
        <w:t xml:space="preserve"> PyTorch, TensorFlow, Hugging Face Transformers; Qdrant, pgvector; stochastic modeling, time-series analysis, statistical evaluation.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Systems, Infrastructure &amp; Observability:</w:t>
      </w:r>
      <w:r w:rsidDel="00000000" w:rsidR="00000000" w:rsidRPr="00000000">
        <w:rPr>
          <w:sz w:val="20"/>
          <w:szCs w:val="20"/>
          <w:rtl w:val="0"/>
        </w:rPr>
        <w:t xml:space="preserve"> PostgreSQL, Docker, Redis, MinIO/S3; OpenTelemetry, Prometheus, Grafana, Loki, Jaeger; Temporal, Celery, RabbitMQ.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  <w:sectPr>
          <w:pgSz w:h="15840" w:w="12240" w:orient="portrait"/>
          <w:pgMar w:bottom="1179.8184967041016" w:top="467.91259765625" w:left="579.9273300170898" w:right="573.30322265625" w:header="0" w:footer="720"/>
          <w:pgNumType w:start="1"/>
        </w:sect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Developer Tooling &amp; CI/CD:</w:t>
      </w:r>
      <w:r w:rsidDel="00000000" w:rsidR="00000000" w:rsidRPr="00000000">
        <w:rPr>
          <w:sz w:val="20"/>
          <w:szCs w:val="20"/>
          <w:rtl w:val="0"/>
        </w:rPr>
        <w:t xml:space="preserve"> Git/GitHub; GitHub Actions, Trunk, pre-commit, Commitizen; pytest, coverage, reporting; Ruff, Mypy, Pyright; uv, PDM, Poetry, Hatch; Nox; Sphinx; build &amp; release pipelines, versioning.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widowControl w:val="0"/>
        <w:spacing w:line="248.29854011535645" w:lineRule="auto"/>
        <w:rPr>
          <w:b w:val="0"/>
          <w:bCs w:val="0"/>
          <w:sz w:val="26"/>
          <w:szCs w:val="26"/>
          <w:u w:val="single"/>
        </w:rPr>
      </w:pPr>
      <w:bookmarkStart w:colFirst="0" w:colLast="0" w:name="_4mom937kio1o" w:id="0"/>
      <w:bookmarkEnd w:id="0"/>
      <w:r w:rsidDel="00000000" w:rsidR="00000000" w:rsidRPr="00000000">
        <w:rPr>
          <w:sz w:val="26"/>
          <w:szCs w:val="26"/>
          <w:rtl w:val="0"/>
        </w:rPr>
        <w:t xml:space="preserve">Selected Open-Source Platforms &amp;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8.29854011535645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Full portfolio, documentation, and package releases available via </w:t>
      </w:r>
      <w:hyperlink r:id="rId11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Website</w:t>
        </w:r>
      </w:hyperlink>
      <w:r w:rsidDel="00000000" w:rsidR="00000000" w:rsidRPr="00000000">
        <w:rPr>
          <w:i w:val="1"/>
          <w:iCs w:val="1"/>
          <w:rtl w:val="0"/>
        </w:rPr>
        <w:t xml:space="preserve">, </w:t>
      </w:r>
      <w:hyperlink r:id="rId12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GitHub</w:t>
        </w:r>
      </w:hyperlink>
      <w:r w:rsidDel="00000000" w:rsidR="00000000" w:rsidRPr="00000000">
        <w:rPr>
          <w:i w:val="1"/>
          <w:iCs w:val="1"/>
          <w:rtl w:val="0"/>
        </w:rPr>
        <w:t xml:space="preserve">, and </w:t>
      </w:r>
      <w:hyperlink r:id="rId13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PyPI</w:t>
        </w:r>
      </w:hyperlink>
      <w:r w:rsidDel="00000000" w:rsidR="00000000" w:rsidRPr="00000000">
        <w:rPr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1E">
      <w:pPr>
        <w:widowControl w:val="0"/>
        <w:spacing w:line="248.298540115356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8.29854011535645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Agentic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AI Platform (</w:t>
      </w:r>
      <w:hyperlink r:id="rId14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Haive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6"/>
        </w:numPr>
        <w:spacing w:line="248.29854011535645" w:lineRule="auto"/>
        <w:ind w:left="720" w:hanging="360"/>
        <w:rPr>
          <w:sz w:val="20"/>
          <w:szCs w:val="20"/>
        </w:rPr>
      </w:pPr>
      <w:hyperlink r:id="rId15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haive-core</w:t>
        </w:r>
      </w:hyperlink>
      <w:r w:rsidDel="00000000" w:rsidR="00000000" w:rsidRPr="00000000">
        <w:rPr>
          <w:sz w:val="20"/>
          <w:szCs w:val="20"/>
          <w:rtl w:val="0"/>
        </w:rPr>
        <w:t xml:space="preserve">: Stateful graph runtime with serializable agents, tools, retrievers, and engines embedded in layered state schemas for reconfigurable, persistent, and reproducible execution.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6"/>
        </w:numPr>
        <w:spacing w:line="248.29854011535645" w:lineRule="auto"/>
        <w:ind w:left="720" w:hanging="360"/>
        <w:rPr>
          <w:sz w:val="20"/>
          <w:szCs w:val="20"/>
        </w:rPr>
      </w:pPr>
      <w:hyperlink r:id="rId16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haive-agents</w:t>
        </w:r>
      </w:hyperlink>
      <w:r w:rsidDel="00000000" w:rsidR="00000000" w:rsidRPr="00000000">
        <w:rPr>
          <w:sz w:val="20"/>
          <w:szCs w:val="20"/>
          <w:rtl w:val="0"/>
        </w:rPr>
        <w:t xml:space="preserve">: Advanced orchestration layer for composing planner/reasoner teams with parallel DAG execution and validation/repair flows, MCTS-style reasoning and reflection, context-management and auto-summary memory, knowledge-graph/vector memory, and feedback-driven prompt/tool/memory adaptation.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6"/>
        </w:numPr>
        <w:spacing w:line="248.29854011535645" w:lineRule="auto"/>
        <w:ind w:left="720" w:hanging="360"/>
        <w:rPr>
          <w:sz w:val="20"/>
          <w:szCs w:val="20"/>
        </w:rPr>
      </w:pPr>
      <w:hyperlink r:id="rId17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haive-tools</w:t>
        </w:r>
      </w:hyperlink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&amp;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hyperlink r:id="rId18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haive-mcp</w:t>
        </w:r>
      </w:hyperlink>
      <w:r w:rsidDel="00000000" w:rsidR="00000000" w:rsidRPr="00000000">
        <w:rPr>
          <w:sz w:val="20"/>
          <w:szCs w:val="20"/>
          <w:rtl w:val="0"/>
        </w:rPr>
        <w:t xml:space="preserve">: </w:t>
      </w:r>
      <w:r w:rsidDel="00000000" w:rsidR="00000000" w:rsidRPr="00000000">
        <w:rPr>
          <w:sz w:val="20"/>
          <w:szCs w:val="20"/>
          <w:rtl w:val="0"/>
        </w:rPr>
        <w:t xml:space="preserve">Ecosystem</w:t>
      </w:r>
      <w:r w:rsidDel="00000000" w:rsidR="00000000" w:rsidRPr="00000000">
        <w:rPr>
          <w:sz w:val="20"/>
          <w:szCs w:val="20"/>
          <w:rtl w:val="0"/>
        </w:rPr>
        <w:t xml:space="preserve"> of 100+ standardized tools and MCP integrations, enabling agents to discover, retrieve, and extend capabilities with HITL-gated access across 2,000+ tools.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6"/>
        </w:numPr>
        <w:spacing w:line="248.29854011535645" w:lineRule="auto"/>
        <w:ind w:left="720" w:hanging="360"/>
        <w:rPr>
          <w:sz w:val="20"/>
          <w:szCs w:val="20"/>
        </w:rPr>
      </w:pPr>
      <w:hyperlink r:id="rId19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haive-games</w:t>
        </w:r>
      </w:hyperlink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​​Agent and multi-agent benchmarking suite spanning 22 environments (e.g., Chess, Go, Poker, Among Us, and Oxford-style debates), with fixed-config ablations over models, prompts, and architectures to capture reasoning patterns, coordination, and robustness.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6"/>
        </w:numPr>
        <w:spacing w:line="248.29854011535645" w:lineRule="auto"/>
        <w:ind w:left="720" w:hanging="360"/>
        <w:rPr>
          <w:sz w:val="20"/>
          <w:szCs w:val="20"/>
        </w:rPr>
      </w:pPr>
      <w:hyperlink r:id="rId20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haive-dataflow</w:t>
        </w:r>
      </w:hyperlink>
      <w:r w:rsidDel="00000000" w:rsidR="00000000" w:rsidRPr="00000000">
        <w:rPr>
          <w:sz w:val="20"/>
          <w:szCs w:val="20"/>
          <w:rtl w:val="0"/>
        </w:rPr>
        <w:t xml:space="preserve"> &amp; </w:t>
      </w:r>
      <w:hyperlink r:id="rId21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haive-hap</w:t>
        </w:r>
      </w:hyperlink>
      <w:r w:rsidDel="00000000" w:rsidR="00000000" w:rsidRPr="00000000">
        <w:rPr>
          <w:sz w:val="20"/>
          <w:szCs w:val="20"/>
          <w:rtl w:val="0"/>
        </w:rPr>
        <w:t xml:space="preserve">: Deployment framework and ACP/MCP-style protocol serving agent graph workflows, with JSON-RPC execution, agent loading, lifecycle hooks, recovery, tracking, and Postgres.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6"/>
        </w:numPr>
        <w:spacing w:line="248.29854011535645" w:lineRule="auto"/>
        <w:ind w:left="720" w:hanging="360"/>
        <w:rPr>
          <w:sz w:val="20"/>
          <w:szCs w:val="20"/>
        </w:rPr>
      </w:pPr>
      <w:hyperlink r:id="rId22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haive-prebuilt</w:t>
        </w:r>
      </w:hyperlink>
      <w:r w:rsidDel="00000000" w:rsidR="00000000" w:rsidRPr="00000000">
        <w:rPr>
          <w:sz w:val="20"/>
          <w:szCs w:val="20"/>
          <w:rtl w:val="0"/>
        </w:rPr>
        <w:t xml:space="preserve">: 50+ configurable agent presets and templates for common enterprise workflows, including support, research, content generation, code review, analytics, and domain-specific task automation.</w:t>
      </w:r>
    </w:p>
    <w:p w:rsidR="00000000" w:rsidDel="00000000" w:rsidP="00000000" w:rsidRDefault="00000000" w:rsidRPr="00000000" w14:paraId="00000026">
      <w:pPr>
        <w:widowControl w:val="0"/>
        <w:spacing w:line="248.29854011535645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Agent Runtime &amp; Developer Infrastructure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sz w:val="20"/>
          <w:szCs w:val="20"/>
        </w:rPr>
      </w:pPr>
      <w:hyperlink r:id="rId23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perplexity-at-home</w:t>
        </w:r>
      </w:hyperlink>
      <w:r w:rsidDel="00000000" w:rsidR="00000000" w:rsidRPr="00000000">
        <w:rPr>
          <w:sz w:val="20"/>
          <w:szCs w:val="20"/>
          <w:rtl w:val="0"/>
        </w:rPr>
        <w:t xml:space="preserve">: Open-source Perplexity-style research engine with quick search, pro search, and deep research as LangGraph workflows for planning, source discovery, retrieval, reflection, and synthesis.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sz w:val="20"/>
          <w:szCs w:val="20"/>
        </w:rPr>
      </w:pPr>
      <w:hyperlink r:id="rId24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sqldbagent</w:t>
        </w:r>
      </w:hyperlink>
      <w:r w:rsidDel="00000000" w:rsidR="00000000" w:rsidRPr="00000000">
        <w:rPr>
          <w:sz w:val="20"/>
          <w:szCs w:val="20"/>
          <w:rtl w:val="0"/>
        </w:rPr>
        <w:t xml:space="preserve">: Agent for database intelligence using DB-RAG and long-term memory; performs schema-aware exploration, safe query planning and execution with guardrails and HITL, and iterative self-improvement.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sz w:val="20"/>
          <w:szCs w:val="20"/>
        </w:rPr>
      </w:pPr>
      <w:hyperlink r:id="rId25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oas2mcp</w:t>
        </w:r>
      </w:hyperlink>
      <w:r w:rsidDel="00000000" w:rsidR="00000000" w:rsidRPr="00000000">
        <w:rPr>
          <w:sz w:val="20"/>
          <w:szCs w:val="20"/>
          <w:rtl w:val="0"/>
        </w:rPr>
        <w:t xml:space="preserve">: Agentic OpenAPI-to-MCP system that transforms API specs into refined FastMCP and LangGraph server artifacts, enhancing tool docs and generating prompts, resources, templates, and server instructions.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sz w:val="20"/>
          <w:szCs w:val="20"/>
        </w:rPr>
      </w:pPr>
      <w:hyperlink r:id="rId26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ooai-promptdb</w:t>
        </w:r>
      </w:hyperlink>
      <w:r w:rsidDel="00000000" w:rsidR="00000000" w:rsidRPr="00000000">
        <w:rPr>
          <w:sz w:val="20"/>
          <w:szCs w:val="20"/>
          <w:rtl w:val="0"/>
        </w:rPr>
        <w:t xml:space="preserve">: Database-backed prompt registry and runtime delivery layer for LangChain/LangGraph, with relational versioning, file-native prompt specs, Postgres/MinIO-backed storage, and API/CLI surfaces.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0"/>
          <w:szCs w:val="20"/>
        </w:rPr>
      </w:pPr>
      <w:hyperlink r:id="rId27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ooai-skills</w:t>
        </w:r>
      </w:hyperlink>
      <w:r w:rsidDel="00000000" w:rsidR="00000000" w:rsidRPr="00000000">
        <w:rPr>
          <w:sz w:val="20"/>
          <w:szCs w:val="20"/>
          <w:rtl w:val="0"/>
        </w:rPr>
        <w:t xml:space="preserve">: Multi-agent skills registry that ingests curated “awesome skills” repos, normalizes SKILL.md capabilities, and enables portable install, sync, and discovery across Claude Code, Codex, Cursor, and agent runtimes.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sz w:val="20"/>
          <w:szCs w:val="20"/>
        </w:rPr>
      </w:pPr>
      <w:hyperlink r:id="rId28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ooai-llm</w:t>
        </w:r>
      </w:hyperlink>
      <w:r w:rsidDel="00000000" w:rsidR="00000000" w:rsidRPr="00000000">
        <w:rPr>
          <w:sz w:val="20"/>
          <w:szCs w:val="20"/>
          <w:rtl w:val="0"/>
        </w:rPr>
        <w:t xml:space="preserve">: Unified LLM integration layer for LangChain-first applications, centralizing provider-aware model parsing, typed settings, live model discovery, LiteLLM metadata/pricing, cache bootstrap, and usage/cost helpers.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sz w:val="20"/>
          <w:szCs w:val="20"/>
        </w:rPr>
      </w:pPr>
      <w:hyperlink r:id="rId29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pj</w:t>
        </w:r>
      </w:hyperlink>
      <w:hyperlink r:id="rId30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km</w:t>
        </w:r>
      </w:hyperlink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Agent-native project generation framework for creating structured, reproducible coding environments with project context, tooling, commands, and conventions encoded up front, with customizable project blueprints.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sz w:val="20"/>
          <w:szCs w:val="20"/>
        </w:rPr>
      </w:pPr>
      <w:hyperlink r:id="rId31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Agent-Logic</w:t>
        </w:r>
      </w:hyperlink>
      <w:r w:rsidDel="00000000" w:rsidR="00000000" w:rsidRPr="00000000">
        <w:rPr>
          <w:sz w:val="20"/>
          <w:szCs w:val="20"/>
          <w:rtl w:val="0"/>
        </w:rPr>
        <w:t xml:space="preserve">: Pydantic-based agent toolkit for structured, validated reasoning. Propositional/predicate logic ASTs; sequent-calculus proof validation; truth-table/SAT validity; machine-checkable traces and counterexamples.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sz w:val="20"/>
          <w:szCs w:val="20"/>
        </w:rPr>
      </w:pPr>
      <w:hyperlink r:id="rId32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Prompt-injections</w:t>
        </w:r>
      </w:hyperlink>
      <w:r w:rsidDel="00000000" w:rsidR="00000000" w:rsidRPr="00000000">
        <w:rPr>
          <w:sz w:val="20"/>
          <w:szCs w:val="20"/>
          <w:rtl w:val="0"/>
        </w:rPr>
        <w:t xml:space="preserve">: Defensive prompt-injection guide and corpus for agentic guardrails, with 200+ adversarial cases, attack taxonomy, detection rules, mapped defenses, and few-shot/evaluation integrations.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0"/>
          <w:szCs w:val="20"/>
        </w:rPr>
      </w:pPr>
      <w:hyperlink r:id="rId33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notex-ai</w:t>
        </w:r>
      </w:hyperlink>
      <w:r w:rsidDel="00000000" w:rsidR="00000000" w:rsidRPr="00000000">
        <w:rPr>
          <w:sz w:val="20"/>
          <w:szCs w:val="20"/>
          <w:rtl w:val="0"/>
        </w:rPr>
        <w:t xml:space="preserve">: Early agent-style pipeline for converting handwritten notes, PDFs, and images into structured LaTeX through OpenCV preprocessing, OCR, LLM-based generation, and self-correction; used by math and CS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8.29854011535645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Quantitative AI / Financial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7"/>
        </w:numPr>
        <w:spacing w:line="248.29854011535645" w:lineRule="auto"/>
        <w:ind w:left="720" w:hanging="360"/>
        <w:rPr>
          <w:sz w:val="20"/>
          <w:szCs w:val="20"/>
        </w:rPr>
      </w:pPr>
      <w:hyperlink r:id="rId34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wraquant</w:t>
        </w:r>
      </w:hyperlink>
      <w:r w:rsidDel="00000000" w:rsidR="00000000" w:rsidRPr="00000000">
        <w:rPr>
          <w:sz w:val="20"/>
          <w:szCs w:val="20"/>
          <w:rtl w:val="0"/>
        </w:rPr>
        <w:t xml:space="preserve">: </w:t>
      </w:r>
      <w:r w:rsidDel="00000000" w:rsidR="00000000" w:rsidRPr="00000000">
        <w:rPr>
          <w:sz w:val="20"/>
          <w:szCs w:val="20"/>
          <w:rtl w:val="0"/>
        </w:rPr>
        <w:t xml:space="preserve">Unified quantitative and market-systems platform spanning time-series analysis and forecasting, stochastic/PDE simulation, technical analysis with 265 indicators, regime detection, derivatives pricing, risk modeling, stress testing, backtesting, machine learning, and MCP-based agent-facing financial workflows. 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7"/>
        </w:numPr>
        <w:spacing w:line="248.29854011535645" w:lineRule="auto"/>
        <w:ind w:left="720" w:hanging="360"/>
        <w:rPr>
          <w:sz w:val="20"/>
          <w:szCs w:val="20"/>
        </w:rPr>
      </w:pPr>
      <w:hyperlink r:id="rId35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Credit-Default</w:t>
        </w:r>
      </w:hyperlink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Built a credit risk modeling pipeline for default probability estimation using logistic regression, KNN, and XGBoost, with feature engineering and evaluation via ROC-AUC, Brier score, and calibration.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2018-2021 Theoretical Mathematics Specialist Program Honors BSc, University of Toronto. </w:t>
      </w:r>
      <w:r w:rsidDel="00000000" w:rsidR="00000000" w:rsidRPr="00000000">
        <w:rPr>
          <w:sz w:val="20"/>
          <w:szCs w:val="20"/>
          <w:rtl w:val="0"/>
        </w:rPr>
        <w:t xml:space="preserve">Recruited into industry prior to degree completion based on technical achievement and open-source contributions.</w:t>
      </w:r>
    </w:p>
    <w:sectPr>
      <w:type w:val="nextPage"/>
      <w:pgSz w:h="15840" w:w="12240" w:orient="portrait"/>
      <w:pgMar w:bottom="1179.8184967041016" w:top="467.91259765625" w:left="579.9273300170898" w:right="573.30322265625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ypi.org/project/haive-dataflow" TargetMode="External"/><Relationship Id="rId22" Type="http://schemas.openxmlformats.org/officeDocument/2006/relationships/hyperlink" Target="https://pypi.org/project/haive-prebuilt" TargetMode="External"/><Relationship Id="rId21" Type="http://schemas.openxmlformats.org/officeDocument/2006/relationships/hyperlink" Target="https://pypi.org/project/haive-hap" TargetMode="External"/><Relationship Id="rId24" Type="http://schemas.openxmlformats.org/officeDocument/2006/relationships/hyperlink" Target="https://pypi.org/project/sqldbagent/" TargetMode="External"/><Relationship Id="rId23" Type="http://schemas.openxmlformats.org/officeDocument/2006/relationships/hyperlink" Target="https://pypi.org/project/perplexity-at-home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in/william-astley" TargetMode="External"/><Relationship Id="rId26" Type="http://schemas.openxmlformats.org/officeDocument/2006/relationships/hyperlink" Target="https://pypi.org/project/ooai-promptdb/" TargetMode="External"/><Relationship Id="rId25" Type="http://schemas.openxmlformats.org/officeDocument/2006/relationships/hyperlink" Target="https://pypi.org/project/oas2mcp/" TargetMode="External"/><Relationship Id="rId28" Type="http://schemas.openxmlformats.org/officeDocument/2006/relationships/hyperlink" Target="https://pypi.org/project/ooai-llm/" TargetMode="External"/><Relationship Id="rId27" Type="http://schemas.openxmlformats.org/officeDocument/2006/relationships/hyperlink" Target="https://pypi.org/project/ooai-skills/" TargetMode="External"/><Relationship Id="rId5" Type="http://schemas.openxmlformats.org/officeDocument/2006/relationships/styles" Target="styles.xml"/><Relationship Id="rId6" Type="http://schemas.openxmlformats.org/officeDocument/2006/relationships/hyperlink" Target="mailto:wrastley@gmail.com" TargetMode="External"/><Relationship Id="rId29" Type="http://schemas.openxmlformats.org/officeDocument/2006/relationships/hyperlink" Target="https://pypi.org/project/pjkm/" TargetMode="External"/><Relationship Id="rId7" Type="http://schemas.openxmlformats.org/officeDocument/2006/relationships/hyperlink" Target="https://willastley.dev/" TargetMode="External"/><Relationship Id="rId8" Type="http://schemas.openxmlformats.org/officeDocument/2006/relationships/hyperlink" Target="https://github.com/pr1m8" TargetMode="External"/><Relationship Id="rId31" Type="http://schemas.openxmlformats.org/officeDocument/2006/relationships/hyperlink" Target="https://github.com/pr1m8/agent-logic" TargetMode="External"/><Relationship Id="rId30" Type="http://schemas.openxmlformats.org/officeDocument/2006/relationships/hyperlink" Target="https://pypi.org/project/pjkm/" TargetMode="External"/><Relationship Id="rId11" Type="http://schemas.openxmlformats.org/officeDocument/2006/relationships/hyperlink" Target="https://willastley.dev/" TargetMode="External"/><Relationship Id="rId33" Type="http://schemas.openxmlformats.org/officeDocument/2006/relationships/hyperlink" Target="https://github.com/pr1m8/notex-ai" TargetMode="External"/><Relationship Id="rId10" Type="http://schemas.openxmlformats.org/officeDocument/2006/relationships/hyperlink" Target="https://pypi.org/user/pr1m8/" TargetMode="External"/><Relationship Id="rId32" Type="http://schemas.openxmlformats.org/officeDocument/2006/relationships/hyperlink" Target="https://prompt-injections.readthedocs.io/en/latest/index.html" TargetMode="External"/><Relationship Id="rId13" Type="http://schemas.openxmlformats.org/officeDocument/2006/relationships/hyperlink" Target="https://pypi.org/user/pr1m8/" TargetMode="External"/><Relationship Id="rId35" Type="http://schemas.openxmlformats.org/officeDocument/2006/relationships/hyperlink" Target="https://github.com/pr1m8/Credit-Default" TargetMode="External"/><Relationship Id="rId12" Type="http://schemas.openxmlformats.org/officeDocument/2006/relationships/hyperlink" Target="https://github.com/pr1m8" TargetMode="External"/><Relationship Id="rId34" Type="http://schemas.openxmlformats.org/officeDocument/2006/relationships/hyperlink" Target="https://pypi.org/project/wraquant/" TargetMode="External"/><Relationship Id="rId15" Type="http://schemas.openxmlformats.org/officeDocument/2006/relationships/hyperlink" Target="https://pypi.org/project/haive-core" TargetMode="External"/><Relationship Id="rId14" Type="http://schemas.openxmlformats.org/officeDocument/2006/relationships/hyperlink" Target="https://pypi.org/project/haive/" TargetMode="External"/><Relationship Id="rId17" Type="http://schemas.openxmlformats.org/officeDocument/2006/relationships/hyperlink" Target="https://pypi.org/project/haive-tools" TargetMode="External"/><Relationship Id="rId16" Type="http://schemas.openxmlformats.org/officeDocument/2006/relationships/hyperlink" Target="https://pypi.org/project/haive-agents" TargetMode="External"/><Relationship Id="rId19" Type="http://schemas.openxmlformats.org/officeDocument/2006/relationships/hyperlink" Target="https://pypi.org/project/haive-games" TargetMode="External"/><Relationship Id="rId18" Type="http://schemas.openxmlformats.org/officeDocument/2006/relationships/hyperlink" Target="https://pypi.org/project/haive-m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